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发改委</w:t>
      </w:r>
    </w:p>
    <w:p>
      <w:pPr>
        <w:pStyle w:val="4"/>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满洲里市发改委</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满洲里市发改委</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_GB2312" w:hAnsi="仿宋_GB2312" w:eastAsia="仿宋_GB2312" w:cs="仿宋_GB2312"/>
          <w:sz w:val="32"/>
          <w:szCs w:val="32"/>
          <w:highlight w:val="none"/>
        </w:rPr>
        <w:t>本科生报考应具有一流大学、一流学科建设高校或原“985”“211”高校相关专业全日制本科学历并取得相应学位；研究生学历报考应具有相关专业全日制研究生学历并取得相应学位。专业为</w:t>
      </w:r>
      <w:r>
        <w:rPr>
          <w:rFonts w:hint="eastAsia" w:ascii="仿宋_GB2312" w:hAnsi="仿宋_GB2312" w:eastAsia="仿宋_GB2312" w:cs="仿宋_GB2312"/>
          <w:sz w:val="32"/>
          <w:szCs w:val="32"/>
          <w:highlight w:val="none"/>
          <w:lang w:val="en-US" w:eastAsia="zh-CN"/>
        </w:rPr>
        <w:t>土木工程</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_GB2312" w:hAnsi="仿宋_GB2312" w:eastAsia="仿宋_GB2312" w:cs="仿宋_GB2312"/>
          <w:sz w:val="32"/>
          <w:szCs w:val="32"/>
          <w:highlight w:val="none"/>
          <w:lang w:val="en-US" w:eastAsia="zh-CN"/>
        </w:rPr>
        <w:t>35周岁以下（19</w:t>
      </w:r>
      <w:r>
        <w:rPr>
          <w:rFonts w:hint="eastAsia" w:ascii="仿宋_GB2312" w:hAnsi="仿宋_GB2312" w:eastAsia="仿宋_GB2312" w:cs="仿宋_GB2312"/>
          <w:color w:val="auto"/>
          <w:sz w:val="32"/>
          <w:szCs w:val="32"/>
          <w:highlight w:val="none"/>
          <w:lang w:val="en-US" w:eastAsia="zh-CN"/>
        </w:rPr>
        <w:t>87</w:t>
      </w:r>
      <w:r>
        <w:rPr>
          <w:rFonts w:hint="eastAsia" w:ascii="仿宋_GB2312" w:hAnsi="仿宋_GB2312" w:eastAsia="仿宋_GB2312" w:cs="仿宋_GB2312"/>
          <w:sz w:val="32"/>
          <w:szCs w:val="32"/>
          <w:highlight w:val="none"/>
          <w:lang w:val="en-US" w:eastAsia="zh-CN"/>
        </w:rPr>
        <w:t>年4月30日以后出生）</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pPr>
      <w:r>
        <w:rPr>
          <w:rFonts w:hint="eastAsia" w:ascii="仿宋" w:hAnsi="仿宋" w:eastAsia="仿宋"/>
          <w:color w:val="auto"/>
          <w:sz w:val="32"/>
          <w:szCs w:val="32"/>
        </w:rPr>
        <w:t>报名邮箱：</w:t>
      </w:r>
      <w:r>
        <w:rPr>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instrText xml:space="preserve"> HYPERLINK "mailto:mzlfgwbgs@126.com" </w:instrText>
      </w:r>
      <w:r>
        <w:rPr>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fldChar w:fldCharType="separate"/>
      </w:r>
      <w:r>
        <w:rPr>
          <w:rStyle w:val="12"/>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mzlfgwbgs@126.com</w:t>
      </w:r>
      <w:r>
        <w:rPr>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fldChar w:fldCharType="end"/>
      </w:r>
    </w:p>
    <w:p>
      <w:pPr>
        <w:pStyle w:val="5"/>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kinsoku/>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发改委</w:t>
      </w:r>
      <w:r>
        <w:rPr>
          <w:rFonts w:hint="eastAsia" w:ascii="仿宋" w:hAnsi="仿宋" w:eastAsia="仿宋"/>
          <w:color w:val="auto"/>
          <w:sz w:val="32"/>
          <w:szCs w:val="32"/>
        </w:rPr>
        <w:t>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instrText xml:space="preserve"> HYPERLINK "mailto:mzlfgwbgs@126.com" </w:instrText>
      </w:r>
      <w:r>
        <w:rPr>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fldChar w:fldCharType="separate"/>
      </w:r>
      <w:r>
        <w:rPr>
          <w:rStyle w:val="12"/>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mzlfgwbgs@126.com</w:t>
      </w:r>
      <w:r>
        <w:rPr>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fldChar w:fldCharType="end"/>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（1）《2023年满洲里市发改委所属事业单位引进人才报名表》;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发改委</w:t>
      </w:r>
      <w:r>
        <w:rPr>
          <w:rFonts w:hint="eastAsia" w:ascii="仿宋" w:hAnsi="仿宋" w:eastAsia="仿宋"/>
          <w:color w:val="auto"/>
          <w:sz w:val="32"/>
          <w:szCs w:val="32"/>
        </w:rPr>
        <w:t>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val="en-US" w:eastAsia="zh-CN"/>
        </w:rPr>
        <w:t>发改委</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olor w:val="auto"/>
          <w:sz w:val="32"/>
          <w:szCs w:val="32"/>
          <w:lang w:val="en-US" w:eastAsia="zh-CN"/>
        </w:rPr>
        <w:t>发改委</w:t>
      </w:r>
      <w:r>
        <w:rPr>
          <w:rFonts w:hint="eastAsia" w:ascii="仿宋" w:hAnsi="仿宋" w:eastAsia="仿宋" w:cs="仿宋_GB2312"/>
          <w:color w:val="auto"/>
          <w:sz w:val="32"/>
          <w:szCs w:val="32"/>
        </w:rPr>
        <w:t>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发改委人才引进工作领导小组负责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4"/>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2.评估内容</w:t>
      </w:r>
    </w:p>
    <w:p>
      <w:pPr>
        <w:pStyle w:val="4"/>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val="en-US" w:eastAsia="zh-CN"/>
        </w:rPr>
        <w:t>满洲里市发展和改革委员会微信公众号</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发改委人才引进工作领导小组负责电话通知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4"/>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考察工作由满洲里市发改委人才引进工作领导小组负责组织实施。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s="仿宋_GB2312"/>
          <w:color w:val="auto"/>
          <w:sz w:val="32"/>
          <w:szCs w:val="32"/>
          <w:lang w:val="en-US" w:eastAsia="zh-CN"/>
        </w:rPr>
        <w:t>发改委</w:t>
      </w:r>
      <w:r>
        <w:rPr>
          <w:rFonts w:hint="eastAsia" w:ascii="仿宋" w:hAnsi="仿宋" w:eastAsia="仿宋" w:cs="仿宋_GB2312"/>
          <w:color w:val="auto"/>
          <w:sz w:val="32"/>
          <w:szCs w:val="32"/>
        </w:rPr>
        <w:t>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highlight w:val="none"/>
          <w:lang w:val="en-US" w:eastAsia="zh-CN"/>
        </w:rPr>
        <w:t>发改委</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6262241</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highlight w:val="none"/>
          <w:lang w:val="en-US" w:eastAsia="zh-CN"/>
        </w:rPr>
        <w:t>6265866</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发改委</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发改委</w:t>
      </w:r>
      <w:r>
        <w:rPr>
          <w:rFonts w:hint="eastAsia" w:ascii="仿宋" w:hAnsi="仿宋" w:eastAsia="仿宋" w:cs="仿宋_GB2312"/>
          <w:color w:val="auto"/>
          <w:sz w:val="32"/>
          <w:szCs w:val="32"/>
        </w:rPr>
        <w:t>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4"/>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keepNext w:val="0"/>
        <w:keepLines w:val="0"/>
        <w:pageBreakBefore w:val="0"/>
        <w:widowControl w:val="0"/>
        <w:kinsoku/>
        <w:overflowPunct/>
        <w:topLinePunct w:val="0"/>
        <w:autoSpaceDE/>
        <w:autoSpaceDN/>
        <w:bidi w:val="0"/>
        <w:adjustRightInd/>
        <w:spacing w:line="540" w:lineRule="exact"/>
        <w:ind w:firstLine="4160" w:firstLineChars="1300"/>
        <w:jc w:val="both"/>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满洲里</w:t>
      </w:r>
      <w:r>
        <w:rPr>
          <w:rFonts w:hint="eastAsia" w:ascii="仿宋" w:hAnsi="仿宋" w:eastAsia="仿宋" w:cs="仿宋_GB2312"/>
          <w:color w:val="auto"/>
          <w:sz w:val="32"/>
          <w:szCs w:val="32"/>
          <w:lang w:val="en-US" w:eastAsia="zh-CN"/>
        </w:rPr>
        <w:t>市发展和改革委员会</w:t>
      </w:r>
    </w:p>
    <w:p>
      <w:pPr>
        <w:keepNext w:val="0"/>
        <w:keepLines w:val="0"/>
        <w:pageBreakBefore w:val="0"/>
        <w:widowControl w:val="0"/>
        <w:kinsoku/>
        <w:overflowPunct/>
        <w:topLinePunct w:val="0"/>
        <w:autoSpaceDE/>
        <w:autoSpaceDN/>
        <w:bidi w:val="0"/>
        <w:adjustRightInd/>
        <w:spacing w:line="540" w:lineRule="exact"/>
        <w:ind w:firstLine="4800" w:firstLineChars="15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spacing w:line="560" w:lineRule="exact"/>
        <w:ind w:firstLine="640" w:firstLineChars="200"/>
        <w:jc w:val="left"/>
        <w:rPr>
          <w:rFonts w:ascii="仿宋" w:hAnsi="仿宋" w:eastAsia="仿宋" w:cs="仿宋"/>
          <w:color w:val="auto"/>
          <w:sz w:val="32"/>
          <w:szCs w:val="32"/>
        </w:rPr>
      </w:pPr>
    </w:p>
    <w:p>
      <w:pPr>
        <w:pStyle w:val="4"/>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8"/>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680"/>
        <w:gridCol w:w="1267"/>
        <w:gridCol w:w="639"/>
        <w:gridCol w:w="436"/>
        <w:gridCol w:w="527"/>
        <w:gridCol w:w="657"/>
        <w:gridCol w:w="485"/>
        <w:gridCol w:w="977"/>
        <w:gridCol w:w="1249"/>
        <w:gridCol w:w="2106"/>
        <w:gridCol w:w="1472"/>
        <w:gridCol w:w="3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16"/>
                <w:szCs w:val="16"/>
                <w:highlight w:val="none"/>
                <w:lang w:val="en-US" w:eastAsia="zh-CN" w:bidi="ar-SA"/>
              </w:rPr>
            </w:pPr>
            <w:r>
              <w:rPr>
                <w:rFonts w:hint="eastAsia" w:ascii="仿宋_GB2312" w:hAnsi="仿宋_GB2312" w:eastAsia="仿宋_GB2312" w:cs="仿宋_GB2312"/>
                <w:color w:val="000000"/>
                <w:sz w:val="16"/>
                <w:szCs w:val="16"/>
                <w:highlight w:val="none"/>
                <w:lang w:val="en-US" w:eastAsia="zh-CN"/>
              </w:rPr>
              <w:t>满洲里市发改委</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16"/>
                <w:szCs w:val="16"/>
                <w:highlight w:val="none"/>
                <w:lang w:val="en-US" w:eastAsia="zh-CN"/>
              </w:rPr>
            </w:pPr>
            <w:r>
              <w:rPr>
                <w:rFonts w:hint="eastAsia" w:ascii="仿宋_GB2312" w:hAnsi="仿宋_GB2312" w:eastAsia="仿宋_GB2312" w:cs="仿宋_GB2312"/>
                <w:color w:val="000000"/>
                <w:sz w:val="16"/>
                <w:szCs w:val="16"/>
                <w:highlight w:val="none"/>
                <w:lang w:val="en-US" w:eastAsia="zh-CN"/>
              </w:rPr>
              <w:t>满洲里市发改委综合保障中心</w:t>
            </w:r>
          </w:p>
          <w:p>
            <w:pPr>
              <w:widowControl/>
              <w:jc w:val="center"/>
              <w:textAlignment w:val="center"/>
              <w:rPr>
                <w:rFonts w:hint="eastAsia" w:ascii="仿宋_GB2312" w:hAnsi="仿宋_GB2312" w:eastAsia="仿宋_GB2312" w:cs="仿宋_GB2312"/>
                <w:color w:val="000000"/>
                <w:kern w:val="2"/>
                <w:sz w:val="16"/>
                <w:szCs w:val="16"/>
                <w:highlight w:val="none"/>
                <w:lang w:val="en-US" w:eastAsia="zh-CN" w:bidi="ar-SA"/>
              </w:rPr>
            </w:pPr>
            <w:r>
              <w:rPr>
                <w:rFonts w:hint="eastAsia" w:ascii="仿宋_GB2312" w:hAnsi="仿宋_GB2312" w:eastAsia="仿宋_GB2312" w:cs="仿宋_GB2312"/>
                <w:color w:val="000000"/>
                <w:sz w:val="16"/>
                <w:szCs w:val="16"/>
                <w:highlight w:val="none"/>
                <w:lang w:val="en-US" w:eastAsia="zh-CN"/>
              </w:rPr>
              <w:t>（专项编）</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专业技术岗位</w:t>
            </w:r>
          </w:p>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6"/>
                <w:szCs w:val="16"/>
                <w:u w:val="none"/>
                <w:lang w:val="en-US" w:eastAsia="zh-CN" w:bidi="ar-SA"/>
              </w:rPr>
            </w:pP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16"/>
                <w:szCs w:val="16"/>
                <w:highlight w:val="none"/>
                <w:lang w:val="en-US" w:eastAsia="zh-CN" w:bidi="ar-SA"/>
              </w:rPr>
            </w:pPr>
            <w:r>
              <w:rPr>
                <w:rFonts w:hint="eastAsia" w:ascii="仿宋_GB2312" w:hAnsi="仿宋_GB2312" w:eastAsia="仿宋_GB2312" w:cs="仿宋_GB2312"/>
                <w:color w:val="000000"/>
                <w:sz w:val="16"/>
                <w:szCs w:val="16"/>
                <w:highlight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kern w:val="2"/>
                <w:sz w:val="16"/>
                <w:szCs w:val="16"/>
                <w:highlight w:val="none"/>
                <w:lang w:val="en-US" w:eastAsia="zh-CN" w:bidi="ar-SA"/>
              </w:rPr>
            </w:pPr>
            <w:r>
              <w:rPr>
                <w:rFonts w:hint="eastAsia" w:ascii="仿宋_GB2312" w:hAnsi="仿宋_GB2312" w:eastAsia="仿宋_GB2312" w:cs="仿宋_GB2312"/>
                <w:i w:val="0"/>
                <w:iCs w:val="0"/>
                <w:color w:val="auto"/>
                <w:kern w:val="0"/>
                <w:sz w:val="16"/>
                <w:szCs w:val="16"/>
                <w:u w:val="none"/>
                <w:lang w:val="en-US" w:eastAsia="zh-CN" w:bidi="ar"/>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16"/>
                <w:szCs w:val="16"/>
                <w:highlight w:val="none"/>
                <w:lang w:val="en-US" w:eastAsia="zh-CN" w:bidi="ar-SA"/>
              </w:rPr>
            </w:pPr>
            <w:r>
              <w:rPr>
                <w:rFonts w:hint="eastAsia" w:ascii="仿宋_GB2312" w:hAnsi="仿宋_GB2312" w:eastAsia="仿宋_GB2312" w:cs="仿宋_GB2312"/>
                <w:i w:val="0"/>
                <w:iCs w:val="0"/>
                <w:color w:val="auto"/>
                <w:kern w:val="0"/>
                <w:sz w:val="16"/>
                <w:szCs w:val="16"/>
                <w:u w:val="none"/>
                <w:lang w:val="en-US" w:eastAsia="zh-CN" w:bidi="ar"/>
              </w:rPr>
              <w:t>国家统招全日制普通高校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6"/>
                <w:szCs w:val="16"/>
                <w:u w:val="none"/>
                <w:lang w:val="en-US" w:eastAsia="zh-CN" w:bidi="ar"/>
              </w:rPr>
            </w:pPr>
            <w:r>
              <w:rPr>
                <w:rFonts w:hint="eastAsia" w:ascii="仿宋_GB2312" w:hAnsi="仿宋_GB2312" w:eastAsia="仿宋_GB2312" w:cs="仿宋_GB2312"/>
                <w:i w:val="0"/>
                <w:iCs w:val="0"/>
                <w:color w:val="auto"/>
                <w:kern w:val="0"/>
                <w:sz w:val="16"/>
                <w:szCs w:val="16"/>
                <w:u w:val="none"/>
                <w:lang w:val="en-US" w:eastAsia="zh-CN" w:bidi="ar"/>
              </w:rPr>
              <w:t>学士学位及以上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6"/>
                <w:szCs w:val="16"/>
                <w:u w:val="none"/>
                <w:lang w:val="en-US" w:eastAsia="zh-CN" w:bidi="ar-SA"/>
              </w:rPr>
            </w:pPr>
            <w:r>
              <w:rPr>
                <w:rFonts w:hint="eastAsia" w:ascii="仿宋_GB2312" w:hAnsi="仿宋_GB2312" w:eastAsia="仿宋_GB2312" w:cs="仿宋_GB2312"/>
                <w:i w:val="0"/>
                <w:iCs w:val="0"/>
                <w:color w:val="auto"/>
                <w:kern w:val="2"/>
                <w:sz w:val="16"/>
                <w:szCs w:val="16"/>
                <w:u w:val="none"/>
                <w:lang w:val="en-US" w:eastAsia="zh-CN" w:bidi="ar-SA"/>
              </w:rPr>
              <w:t>土木工程</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kern w:val="2"/>
                <w:sz w:val="16"/>
                <w:szCs w:val="16"/>
                <w:highlight w:val="none"/>
                <w:lang w:val="en-US" w:eastAsia="zh-CN" w:bidi="ar-SA"/>
              </w:rPr>
            </w:pPr>
            <w:r>
              <w:rPr>
                <w:rFonts w:hint="eastAsia" w:ascii="仿宋_GB2312" w:hAnsi="仿宋_GB2312" w:eastAsia="仿宋_GB2312" w:cs="仿宋_GB2312"/>
                <w:i w:val="0"/>
                <w:iCs w:val="0"/>
                <w:color w:val="auto"/>
                <w:kern w:val="0"/>
                <w:sz w:val="16"/>
                <w:szCs w:val="16"/>
                <w:u w:val="none"/>
                <w:lang w:val="en-US" w:eastAsia="zh-CN" w:bidi="ar"/>
              </w:rPr>
              <w:t>35周岁以下</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16"/>
                <w:szCs w:val="16"/>
                <w:u w:val="none"/>
                <w:lang w:val="en-US" w:eastAsia="zh-CN"/>
              </w:rPr>
            </w:pPr>
            <w:r>
              <w:rPr>
                <w:rFonts w:hint="eastAsia" w:ascii="仿宋_GB2312" w:hAnsi="仿宋_GB2312" w:eastAsia="仿宋_GB2312" w:cs="仿宋_GB2312"/>
                <w:i w:val="0"/>
                <w:iCs w:val="0"/>
                <w:color w:val="auto"/>
                <w:sz w:val="16"/>
                <w:szCs w:val="16"/>
                <w:u w:val="none"/>
                <w:lang w:val="en-US" w:eastAsia="zh-CN"/>
              </w:rPr>
              <w:t>本科生报考应具有一流大学、一流学科建设高校或原“985”“211”高校相关专业全日制本科学历，并取得相应学位；研究生学历报考应具有相关专业全日制研究生学历，并取得相应的硕士及以上学位。</w:t>
            </w:r>
            <w:bookmarkStart w:id="0" w:name="_GoBack"/>
            <w:bookmarkEnd w:id="0"/>
            <w:r>
              <w:rPr>
                <w:rFonts w:hint="eastAsia" w:ascii="仿宋_GB2312" w:hAnsi="仿宋_GB2312" w:eastAsia="仿宋_GB2312" w:cs="仿宋_GB2312"/>
                <w:i w:val="0"/>
                <w:iCs w:val="0"/>
                <w:color w:val="auto"/>
                <w:sz w:val="16"/>
                <w:szCs w:val="16"/>
                <w:u w:val="none"/>
                <w:lang w:val="en-US" w:eastAsia="zh-CN"/>
              </w:rPr>
              <w:t xml:space="preserve">              </w:t>
            </w:r>
          </w:p>
          <w:p>
            <w:pPr>
              <w:keepNext w:val="0"/>
              <w:keepLines w:val="0"/>
              <w:widowControl/>
              <w:suppressLineNumbers w:val="0"/>
              <w:jc w:val="both"/>
              <w:textAlignment w:val="center"/>
              <w:rPr>
                <w:rFonts w:hint="eastAsia" w:ascii="仿宋_GB2312" w:hAnsi="仿宋_GB2312" w:eastAsia="仿宋_GB2312" w:cs="仿宋_GB2312"/>
                <w:kern w:val="2"/>
                <w:sz w:val="16"/>
                <w:szCs w:val="16"/>
                <w:lang w:val="en-US" w:eastAsia="zh-CN" w:bidi="ar-SA"/>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lang w:val="en-US" w:eastAsia="zh-CN"/>
              </w:rPr>
            </w:pPr>
            <w:r>
              <w:rPr>
                <w:rFonts w:hint="eastAsia"/>
                <w:lang w:val="en-US" w:eastAsia="zh-CN"/>
              </w:rPr>
              <w:t>吴文英</w:t>
            </w:r>
          </w:p>
          <w:p>
            <w:pPr>
              <w:pStyle w:val="2"/>
              <w:ind w:left="0" w:leftChars="0" w:firstLine="0" w:firstLineChars="0"/>
              <w:jc w:val="center"/>
              <w:rPr>
                <w:rFonts w:hint="eastAsia" w:ascii="Times New Roman" w:hAnsi="Times New Roman" w:eastAsia="仿宋_GB2312" w:cs="Times New Roman"/>
                <w:kern w:val="2"/>
                <w:sz w:val="32"/>
                <w:szCs w:val="24"/>
                <w:lang w:val="en-US" w:eastAsia="zh-CN" w:bidi="ar-SA"/>
              </w:rPr>
            </w:pPr>
            <w:r>
              <w:rPr>
                <w:rFonts w:hint="eastAsia" w:ascii="仿宋_GB2312" w:hAnsi="仿宋_GB2312" w:cs="仿宋_GB2312"/>
                <w:color w:val="000000"/>
                <w:sz w:val="16"/>
                <w:szCs w:val="16"/>
                <w:highlight w:val="none"/>
                <w:lang w:val="en-US" w:eastAsia="zh-CN"/>
              </w:rPr>
              <w:t>0470-6262241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000000"/>
                <w:kern w:val="2"/>
                <w:sz w:val="18"/>
                <w:szCs w:val="18"/>
                <w:highlight w:val="none"/>
                <w:lang w:val="en-US" w:eastAsia="zh-CN" w:bidi="ar-SA"/>
              </w:rPr>
            </w:pPr>
            <w:r>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fldChar w:fldCharType="begin"/>
            </w:r>
            <w:r>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instrText xml:space="preserve"> HYPERLINK "mailto:mzlfgwbgs@126.com" </w:instrText>
            </w:r>
            <w:r>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fldChar w:fldCharType="separate"/>
            </w:r>
            <w:r>
              <w:rPr>
                <w:rStyle w:val="12"/>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t>mzlfgwbgs@126.com</w:t>
            </w:r>
            <w:r>
              <w:rPr>
                <w:rFonts w:hint="default" w:ascii="Times New Roman" w:hAnsi="Times New Roman" w:eastAsia="仿宋_GB2312" w:cs="Times New Roman"/>
                <w:b w:val="0"/>
                <w:bCs w:val="0"/>
                <w:i w:val="0"/>
                <w:caps w:val="0"/>
                <w:color w:val="auto"/>
                <w:spacing w:val="0"/>
                <w:kern w:val="0"/>
                <w:sz w:val="32"/>
                <w:szCs w:val="32"/>
                <w:u w:val="none"/>
                <w:shd w:val="clear" w:color="auto" w:fill="FFFFFF"/>
                <w:lang w:val="en-US" w:eastAsia="zh-CN" w:bidi="ar"/>
              </w:rPr>
              <w:fldChar w:fldCharType="end"/>
            </w:r>
          </w:p>
        </w:tc>
      </w:tr>
    </w:tbl>
    <w:p>
      <w:pPr>
        <w:pStyle w:val="4"/>
        <w:sectPr>
          <w:pgSz w:w="16838" w:h="11906" w:orient="landscape"/>
          <w:pgMar w:top="1803" w:right="1440" w:bottom="1803" w:left="1440" w:header="851" w:footer="992" w:gutter="0"/>
          <w:cols w:space="0" w:num="1"/>
          <w:docGrid w:type="lines" w:linePitch="319" w:charSpace="0"/>
        </w:sectPr>
      </w:pPr>
    </w:p>
    <w:tbl>
      <w:tblPr>
        <w:tblStyle w:val="8"/>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发改委</w:t>
            </w:r>
            <w:r>
              <w:rPr>
                <w:rFonts w:hint="eastAsia" w:ascii="方正小标宋简体" w:hAnsi="宋体" w:eastAsia="方正小标宋简体" w:cs="宋体"/>
                <w:color w:val="auto"/>
                <w:kern w:val="0"/>
                <w:sz w:val="40"/>
                <w:szCs w:val="40"/>
              </w:rPr>
              <w:t>所属事业单位</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4"/>
        <w:spacing w:line="560" w:lineRule="exact"/>
        <w:ind w:left="0" w:leftChars="0"/>
        <w:rPr>
          <w:color w:val="auto"/>
          <w:sz w:val="32"/>
          <w:szCs w:val="32"/>
        </w:rPr>
      </w:pPr>
    </w:p>
    <w:p>
      <w:pPr>
        <w:rPr>
          <w:color w:val="auto"/>
        </w:rPr>
      </w:pPr>
    </w:p>
    <w:p>
      <w:pPr>
        <w:pStyle w:val="4"/>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发改委</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4"/>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5E4536"/>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416F48"/>
    <w:rsid w:val="11D363A6"/>
    <w:rsid w:val="1359145C"/>
    <w:rsid w:val="13B55D4D"/>
    <w:rsid w:val="141F36D1"/>
    <w:rsid w:val="145C0106"/>
    <w:rsid w:val="14861F22"/>
    <w:rsid w:val="14D94748"/>
    <w:rsid w:val="164E54A5"/>
    <w:rsid w:val="18552337"/>
    <w:rsid w:val="187622AE"/>
    <w:rsid w:val="18E65685"/>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60A717A"/>
    <w:rsid w:val="27090EBD"/>
    <w:rsid w:val="274F0899"/>
    <w:rsid w:val="27B01338"/>
    <w:rsid w:val="27EB411E"/>
    <w:rsid w:val="28AB320C"/>
    <w:rsid w:val="28C606E7"/>
    <w:rsid w:val="28E47471"/>
    <w:rsid w:val="297B7724"/>
    <w:rsid w:val="29A8408B"/>
    <w:rsid w:val="29EA13DF"/>
    <w:rsid w:val="29EE6148"/>
    <w:rsid w:val="2A203A88"/>
    <w:rsid w:val="2A4E6BE6"/>
    <w:rsid w:val="2A8D7116"/>
    <w:rsid w:val="2ABD1E95"/>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F16F36"/>
    <w:rsid w:val="56631F03"/>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DB8406F"/>
    <w:rsid w:val="6E0819B1"/>
    <w:rsid w:val="6F410095"/>
    <w:rsid w:val="6F8C31A5"/>
    <w:rsid w:val="6FB17F4F"/>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4B86703"/>
    <w:rsid w:val="752A64AA"/>
    <w:rsid w:val="75C31803"/>
    <w:rsid w:val="760F67F7"/>
    <w:rsid w:val="764364A0"/>
    <w:rsid w:val="76487F5B"/>
    <w:rsid w:val="77A94A29"/>
    <w:rsid w:val="77BC7F2D"/>
    <w:rsid w:val="79584959"/>
    <w:rsid w:val="79975481"/>
    <w:rsid w:val="79B75489"/>
    <w:rsid w:val="7A396538"/>
    <w:rsid w:val="7A74131E"/>
    <w:rsid w:val="7A7D216D"/>
    <w:rsid w:val="7AEA338E"/>
    <w:rsid w:val="7B071EC0"/>
    <w:rsid w:val="7B7A118C"/>
    <w:rsid w:val="7CD10A13"/>
    <w:rsid w:val="7CF36423"/>
    <w:rsid w:val="7DA8183C"/>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line="600" w:lineRule="exact"/>
      <w:ind w:firstLine="880" w:firstLineChars="200"/>
    </w:pPr>
    <w:rPr>
      <w:rFonts w:eastAsia="仿宋_GB2312"/>
      <w:sz w:val="32"/>
    </w:rPr>
  </w:style>
  <w:style w:type="paragraph" w:styleId="4">
    <w:name w:val="table of authorities"/>
    <w:basedOn w:val="1"/>
    <w:next w:val="1"/>
    <w:unhideWhenUsed/>
    <w:qFormat/>
    <w:uiPriority w:val="99"/>
    <w:pPr>
      <w:ind w:left="20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5030</Words>
  <Characters>5303</Characters>
  <Lines>0</Lines>
  <Paragraphs>0</Paragraphs>
  <TotalTime>5</TotalTime>
  <ScaleCrop>false</ScaleCrop>
  <LinksUpToDate>false</LinksUpToDate>
  <CharactersWithSpaces>5460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2023-05-17T02:16:00Z</cp:lastPrinted>
  <dcterms:modified xsi:type="dcterms:W3CDTF">2023-05-19T03:10:09Z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E23F93E3587E47DE9A7F4F93CAFC426E_13</vt:lpwstr>
  </property>
</Properties>
</file>