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附表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0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6"/>
          <w:szCs w:val="36"/>
          <w:bdr w:val="none" w:color="auto" w:sz="0" w:space="0"/>
          <w:shd w:val="clear" w:fill="FFFFFF"/>
        </w:rPr>
        <w:t>     青海省“昆仑英才·高端创新创业人才”计划西宁大学专项待遇一览表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28"/>
          <w:szCs w:val="28"/>
          <w:bdr w:val="none" w:color="auto" w:sz="0" w:space="0"/>
          <w:shd w:val="clear" w:fill="FFFFFF"/>
        </w:rPr>
        <w:t>                              （四层次五类别十四等级）</w:t>
      </w:r>
    </w:p>
    <w:tbl>
      <w:tblPr>
        <w:tblW w:w="136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6"/>
        <w:gridCol w:w="3259"/>
        <w:gridCol w:w="1276"/>
        <w:gridCol w:w="1697"/>
        <w:gridCol w:w="2553"/>
        <w:gridCol w:w="1697"/>
        <w:gridCol w:w="1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引进层次</w:t>
            </w:r>
          </w:p>
        </w:tc>
        <w:tc>
          <w:tcPr>
            <w:tcW w:w="32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引进条件</w:t>
            </w:r>
          </w:p>
        </w:tc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引进类别</w:t>
            </w:r>
          </w:p>
        </w:tc>
        <w:tc>
          <w:tcPr>
            <w:tcW w:w="79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待遇标准（等级）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安家费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薪酬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专项科研经费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科研平台建设经费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0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人才</w:t>
            </w: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（1）具有国际顶尖水平。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（2）活跃在国际学术前沿、满足国家重大战略需求和青海高质量发展要求的国内外一流人才。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（3）年龄一般在65周岁以下。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国家级人才</w:t>
            </w:r>
          </w:p>
        </w:tc>
        <w:tc>
          <w:tcPr>
            <w:tcW w:w="79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根据协议和具体情况，确定薪酬、住房、科研启动经费、配备学术助手、国内外交流等方面待遇。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0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杰出人才</w:t>
            </w: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（1）研究方向处于科学技术发展前沿领域，具有带领本学科赶超或保持国际先进水平的能力。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（2）在本学科领域有重大发展和一定影响力，已取得国内外同行公认的突破性标志性成果的人才。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（3）年龄一般在60周岁以下。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杰出人才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180万元（首次发放40%，中期考核合格发放30%，期满考核合格发放30%，下同）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年薪100万元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800万元（5年内按需分批拨付，纳入学校科研经费管理，下同）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1500万元（5年内结合学科专业建设按需分批拨付，根据相关规定，按照评审通过的创新团队建设发展计划使用，下同）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5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领军人才</w:t>
            </w: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（1）研究方向处于学科发展前沿领域，具有宽广学术视野和创新思维，较高学术造诣。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（2）在本学科领域取得创新性研究成果，能够组建、带领团队高效开展教学改革和科技创新的人才。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（3）年龄一般在55周岁以下。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领军人才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A级：130万元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B级：120万元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C级：110万元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D级：100万元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A级：年薪70万元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B级：年薪60万元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C级：年薪45万元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D级：年薪30万元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自然科学类提供400万元，哲学社会科学类提供200万元。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5" w:hRule="atLeast"/>
        </w:trPr>
        <w:tc>
          <w:tcPr>
            <w:tcW w:w="11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拔尖人才</w:t>
            </w:r>
          </w:p>
        </w:tc>
        <w:tc>
          <w:tcPr>
            <w:tcW w:w="32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（1）具有较广阔的学术视野和创新思维，在本学科领域具有创新性研究构想。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（2）在教学改革、科学研究方面取得一定的创新性成果，有志于潜心教学及研究工作的人才。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（3）博士研究生及高级职称人员年龄一般在40周岁以下。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拔尖一类：（博士研究生或具有高级职称人员）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A级：80万元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B级：70万元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C级：60万元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D级：50万元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具有高级职称的在聘任岗位时予以倾斜，并按聘任的岗位执行工资待遇；无高级职称的，按学校所在地事业单位专业技术七级岗位享受工资待遇。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自然科学类提供200万元，哲学社会科学类提供100万元。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11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拔尖二类：（紧缺专业硕士研究生）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A级：40万元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B级：30万元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C级：20万元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D级：10万元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按学校所在地事业单位专业技术十级岗位享受工资待遇。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自然科学类提供10万元，哲学社会科学类提供5万元。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NmY0MmNiMzcwMDhjOTI4YTc3NjJhYzNmMDI1YmYifQ=="/>
  </w:docVars>
  <w:rsids>
    <w:rsidRoot w:val="07C332B4"/>
    <w:rsid w:val="07C3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2023-06-01T00:40:00Z</dcterms:created>
  <dc:creator>Administrator</dc:creator>
  <cp:lastModifiedBy>Administrator</cp:lastModifiedBy>
  <dcterms:modified xsi:type="dcterms:W3CDTF">2023-06-01T00:41:29Z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6D5052EE4B5C455EA1C1077AEEA6B122_11</vt:lpwstr>
  </property>
</Properties>
</file>