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黑体简体" w:cs="Times New Roman"/>
        </w:rPr>
      </w:pPr>
      <w:r>
        <w:rPr>
          <w:rFonts w:ascii="方正黑体简体" w:hAnsi="方正黑体简体"/>
        </w:rPr>
        <w:t>附件</w:t>
      </w:r>
      <w:r>
        <w:rPr>
          <w:rFonts w:ascii="Times New Roman" w:hAnsi="Times New Roman" w:eastAsia="方正黑体简体" w:cs="Times New Roman"/>
        </w:rPr>
        <w:t>1</w:t>
      </w:r>
    </w:p>
    <w:tbl>
      <w:tblPr>
        <w:tblStyle w:val="2"/>
        <w:tblW w:w="15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5"/>
        <w:gridCol w:w="1283"/>
        <w:gridCol w:w="795"/>
        <w:gridCol w:w="646"/>
        <w:gridCol w:w="3414"/>
        <w:gridCol w:w="425"/>
        <w:gridCol w:w="525"/>
        <w:gridCol w:w="637"/>
        <w:gridCol w:w="700"/>
        <w:gridCol w:w="688"/>
        <w:gridCol w:w="3182"/>
        <w:gridCol w:w="675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50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小标宋简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水富市</w:t>
            </w:r>
            <w:r>
              <w:rPr>
                <w:rFonts w:ascii="Times New Roman" w:hAnsi="Times New Roman" w:eastAsia="方正小标宋简体" w:cs="Times New Roman"/>
                <w:b/>
                <w:bCs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36"/>
                <w:szCs w:val="36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事业单位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公开招聘</w:t>
            </w:r>
            <w:r>
              <w:rPr>
                <w:rFonts w:hint="eastAsia" w:ascii="Times New Roman" w:hAnsi="Times New Roman"/>
                <w:b/>
                <w:bCs/>
                <w:sz w:val="36"/>
                <w:szCs w:val="36"/>
                <w:lang w:eastAsia="zh-CN"/>
              </w:rPr>
              <w:t>优秀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紧缺</w:t>
            </w:r>
            <w:r>
              <w:rPr>
                <w:rFonts w:hint="eastAsia" w:ascii="Times New Roman" w:hAnsi="Times New Roman"/>
                <w:b/>
                <w:bCs/>
                <w:sz w:val="36"/>
                <w:szCs w:val="36"/>
                <w:lang w:eastAsia="zh-CN"/>
              </w:rPr>
              <w:t>高层次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专业</w:t>
            </w:r>
            <w:r>
              <w:rPr>
                <w:rFonts w:hint="eastAsia" w:ascii="Times New Roman" w:hAnsi="Times New Roman"/>
                <w:b/>
                <w:bCs/>
                <w:sz w:val="36"/>
                <w:szCs w:val="36"/>
                <w:lang w:eastAsia="zh-CN"/>
              </w:rPr>
              <w:t>技术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人才简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单位性质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岗位简介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学历性质要求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学位要求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专业需求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</w:rPr>
              <w:t>年龄要求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7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中共水富市委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中国共产党水富市委党校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财政全额拨款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教科研室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从事党校教学科研工作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2023001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普通招生计划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硕士及以上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（010101）马克思主义哲学、（0201）理论经济学、（0202）应用经济学、（020205）产业经济学、(030203)科学社会主义与国际共产主义运动、（030204）中共党史、（0305 ）马克思主义理论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服务期内的定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向研究生不得报考。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云南省水富工业园区管理委员会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财政全额拨款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经济运行分析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从事经济运行分析，企业管理等相关工作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2023002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普通招生计划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硕士及以上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（0201）理论经济学、（0202 ）应用经济学、（020208）统计学、（120100）管理科学与工程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服务期内的定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向研究生不得报考。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水富市交通运输局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水富市地方公路管理段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财政全额拨款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公路工程建设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区域一体化发展提升交通枢纽地位，开展“港园城”三位一体融合发展涉及交通重大项目方案规划及经济效益分析、投资概算编制。对市委、市政府决定启动的重大项目，开展可行性研究、规划设计，对交通重大项目建设开展技术支持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2023003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普通招生计划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硕士及以上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（0813）建筑学、（</w:t>
            </w:r>
            <w:r>
              <w:rPr>
                <w:rFonts w:ascii="Arial" w:eastAsia="Arial"/>
                <w:sz w:val="18"/>
              </w:rPr>
              <w:t>0814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）土木工程、（0823）交通运输工程、（</w:t>
            </w:r>
            <w:r>
              <w:rPr>
                <w:rFonts w:ascii="Arial"/>
                <w:sz w:val="18"/>
              </w:rPr>
              <w:t>082901</w:t>
            </w:r>
            <w:r>
              <w:rPr>
                <w:rFonts w:hint="eastAsia" w:ascii="Arial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森林工程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服务期内的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定向研究生不得报考。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E301F"/>
    <w:rsid w:val="2CED2B1D"/>
    <w:rsid w:val="383A5808"/>
    <w:rsid w:val="39FF49AD"/>
    <w:rsid w:val="3BCE301F"/>
    <w:rsid w:val="3C5945A6"/>
    <w:rsid w:val="462759ED"/>
    <w:rsid w:val="48E61B5B"/>
    <w:rsid w:val="606E7500"/>
    <w:rsid w:val="61311149"/>
    <w:rsid w:val="65994CB1"/>
    <w:rsid w:val="695E410F"/>
    <w:rsid w:val="6B787EC4"/>
    <w:rsid w:val="74C33C44"/>
    <w:rsid w:val="79C2272C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2023-02-23T02:19:00Z</dcterms:created>
  <dc:creator>维博</dc:creator>
  <cp:lastModifiedBy>维博</cp:lastModifiedBy>
  <dcterms:modified xsi:type="dcterms:W3CDTF">2023-02-23T02:26:59Z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