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广西壮族自治区疾病预防控制中心招聘编外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val="en-US" w:eastAsia="zh-CN"/>
        </w:rPr>
        <w:t>专业技术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人员需求表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  <w:lang w:val="zh-CN"/>
        </w:rPr>
      </w:pPr>
    </w:p>
    <w:tbl>
      <w:tblPr>
        <w:tblStyle w:val="3"/>
        <w:tblW w:w="140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招聘职位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与职位有关的其他条件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录用性质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周岁以下，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初级以上职称，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必须取得执业医师资格证；执业类别：临床；执业范围：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外科/内科/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耳鼻喉科；合同签订后要求至少服务三年。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合同制聘用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009D35E2"/>
    <w:rsid w:val="009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2023-12-21T01:22:00Z</dcterms:created>
  <dc:creator>粗尾鸭</dc:creator>
  <cp:lastModifiedBy>粗尾鸭</cp:lastModifiedBy>
  <dcterms:modified xsi:type="dcterms:W3CDTF">2023-12-21T01:22:52Z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B14428BCC4D94AE6BAF69582C7D470D2_11</vt:lpwstr>
  </property>
</Properties>
</file>