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8" w:type="dxa"/>
        <w:jc w:val="center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35"/>
        <w:gridCol w:w="702"/>
        <w:gridCol w:w="434"/>
        <w:gridCol w:w="479"/>
        <w:gridCol w:w="434"/>
        <w:gridCol w:w="374"/>
        <w:gridCol w:w="688"/>
        <w:gridCol w:w="360"/>
        <w:gridCol w:w="464"/>
        <w:gridCol w:w="449"/>
        <w:gridCol w:w="389"/>
        <w:gridCol w:w="479"/>
        <w:gridCol w:w="449"/>
        <w:gridCol w:w="464"/>
        <w:gridCol w:w="449"/>
        <w:gridCol w:w="2658"/>
        <w:gridCol w:w="359"/>
        <w:gridCol w:w="390"/>
        <w:gridCol w:w="457"/>
        <w:gridCol w:w="3275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09" w:hRule="atLeast"/>
          <w:jc w:val="center"/>
        </w:trPr>
        <w:tc>
          <w:tcPr>
            <w:tcW w:w="14288" w:type="dxa"/>
            <w:gridSpan w:val="20"/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附件</w:t>
            </w: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厦门市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 w:bidi="ar"/>
              </w:rPr>
              <w:t>市场监督管理局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所属事业单位简化程序补充编内工作人员岗位信息表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（202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月）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4" w:hRule="atLeast"/>
          <w:jc w:val="center"/>
        </w:trPr>
        <w:tc>
          <w:tcPr>
            <w:tcW w:w="14288" w:type="dxa"/>
            <w:gridSpan w:val="2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填报单位（盖章）：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27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单位归口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单位隶属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经费形式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(注明岗位类别)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最高岗位级别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最高年龄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最低学历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学历类别要求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最低学位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民族要求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提醒信息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招聘单位地址、邮编、电子信箱  联系人姓名、电话、手机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2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厦门市食品药品质量检验研究院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政府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市属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市场监督管理局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财政全额拨款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食品药品检验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专技12级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博士研究生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博士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化学类、生物科学类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化工与制药类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食品科学与工程类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生物工程类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药学类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中药学类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、仪器仪表类、机械类、物理学类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年龄计算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截止时间：2022年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12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月3</w:t>
            </w:r>
            <w:r>
              <w:rPr>
                <w:rFonts w:hint="default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1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地址：厦门市食品药品质量检验研究院，厦门市东渡海山路33号；邮编：361012；联系人：黄三发，电话：</w:t>
            </w: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0592-</w:t>
            </w: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5662098，手机：13806086565，电子邮箱：xyjscd@sina.com.cn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3" w:hRule="atLeast"/>
          <w:jc w:val="center"/>
        </w:trPr>
        <w:tc>
          <w:tcPr>
            <w:tcW w:w="14288" w:type="dxa"/>
            <w:gridSpan w:val="20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YTBhZjhkMzdjZTllYmZjMTY1ZTkxOGMwYTYxNWEifQ=="/>
  </w:docVars>
  <w:rsids>
    <w:rsidRoot w:val="21EE29D6"/>
    <w:rsid w:val="07002BFA"/>
    <w:rsid w:val="21EE29D6"/>
    <w:rsid w:val="29C633BD"/>
    <w:rsid w:val="61AF0745"/>
    <w:rsid w:val="74487F55"/>
    <w:rsid w:val="BF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2022-07-28T10:19:00Z</dcterms:created>
  <dc:creator>Administrator</dc:creator>
  <cp:lastModifiedBy>xmadmin</cp:lastModifiedBy>
  <cp:lastPrinted>2023-04-11T09:29:00Z</cp:lastPrinted>
  <dcterms:modified xsi:type="dcterms:W3CDTF">2023-04-18T08:57:13Z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4870E2EB61B8467BAD00066D0050BEB0</vt:lpwstr>
  </property>
</Properties>
</file>