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hint="eastAsia" w:ascii="Calibri" w:hAnsi="Calibri" w:eastAsia="方正仿宋简体" w:cs="Times New Roman"/>
          <w:b/>
          <w:bCs/>
          <w:color w:val="000000"/>
          <w:sz w:val="32"/>
          <w:szCs w:val="32"/>
        </w:rPr>
      </w:pPr>
      <w:r>
        <w:rPr>
          <w:rFonts w:ascii="Calibri" w:hAnsi="Calibri" w:eastAsia="方正仿宋简体" w:cs="Times New Roman"/>
          <w:b/>
          <w:bCs/>
          <w:color w:val="000000"/>
          <w:sz w:val="32"/>
          <w:szCs w:val="32"/>
        </w:rPr>
        <w:t xml:space="preserve"> </w:t>
      </w:r>
    </w:p>
    <w:p>
      <w:pPr>
        <w:snapToGrid w:val="0"/>
        <w:spacing w:line="800" w:lineRule="exact"/>
        <w:jc w:val="center"/>
        <w:rPr>
          <w:rFonts w:ascii="Calibri" w:hAnsi="Calibri" w:eastAsia="方正小标宋简体" w:cs="Times New Roman"/>
          <w:color w:val="000000"/>
          <w:spacing w:val="30"/>
          <w:kern w:val="0"/>
          <w:sz w:val="44"/>
          <w:szCs w:val="44"/>
        </w:rPr>
      </w:pPr>
      <w:r>
        <w:rPr>
          <w:rFonts w:hint="eastAsia" w:ascii="Calibri" w:hAnsi="Calibri" w:eastAsia="方正小标宋简体" w:cs="Times New Roman"/>
          <w:color w:val="000000"/>
          <w:spacing w:val="30"/>
          <w:kern w:val="0"/>
          <w:sz w:val="44"/>
          <w:szCs w:val="44"/>
        </w:rPr>
        <w:t xml:space="preserve"> </w:t>
      </w:r>
    </w:p>
    <w:p>
      <w:pPr>
        <w:snapToGrid w:val="0"/>
        <w:spacing w:line="80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</w:rPr>
      </w:pPr>
      <w:bookmarkStart w:id="0" w:name="_GoBack"/>
      <w:r>
        <w:rPr>
          <w:rFonts w:ascii="方正小标宋简体" w:hAnsi="Times New Roman" w:eastAsia="方正小标宋简体" w:cs="Times New Roman"/>
          <w:color w:val="000000"/>
          <w:spacing w:val="30"/>
          <w:kern w:val="0"/>
          <w:sz w:val="44"/>
          <w:szCs w:val="44"/>
        </w:rPr>
        <w:t>相山区</w:t>
      </w:r>
      <w:r>
        <w:rPr>
          <w:rFonts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</w:rPr>
        <w:t>2023</w:t>
      </w:r>
      <w:r>
        <w:rPr>
          <w:rFonts w:ascii="方正小标宋简体" w:hAnsi="Times New Roman" w:eastAsia="方正小标宋简体" w:cs="Times New Roman"/>
          <w:color w:val="000000"/>
          <w:spacing w:val="30"/>
          <w:kern w:val="0"/>
          <w:sz w:val="44"/>
          <w:szCs w:val="44"/>
        </w:rPr>
        <w:t>年度营商环境观察员</w:t>
      </w:r>
    </w:p>
    <w:p>
      <w:pPr>
        <w:snapToGrid w:val="0"/>
        <w:spacing w:line="800" w:lineRule="exact"/>
        <w:jc w:val="center"/>
        <w:rPr>
          <w:rFonts w:ascii="Calibri" w:hAnsi="Calibri" w:eastAsia="方正小标宋简体" w:cs="Times New Roman"/>
          <w:color w:val="000000"/>
          <w:spacing w:val="50"/>
          <w:kern w:val="0"/>
          <w:sz w:val="52"/>
          <w:szCs w:val="52"/>
        </w:rPr>
      </w:pPr>
      <w:r>
        <w:rPr>
          <w:rFonts w:ascii="方正小标宋简体" w:hAnsi="Times New Roman" w:eastAsia="方正小标宋简体" w:cs="Times New Roman"/>
          <w:color w:val="000000"/>
          <w:spacing w:val="50"/>
          <w:kern w:val="0"/>
          <w:sz w:val="44"/>
          <w:szCs w:val="44"/>
        </w:rPr>
        <w:t>推（自）荐</w:t>
      </w:r>
      <w:r>
        <w:rPr>
          <w:rFonts w:hint="eastAsia" w:ascii="方正小标宋简体" w:hAnsi="Times New Roman" w:eastAsia="方正小标宋简体" w:cs="Times New Roman"/>
          <w:color w:val="000000"/>
          <w:spacing w:val="50"/>
          <w:kern w:val="0"/>
          <w:sz w:val="44"/>
          <w:szCs w:val="44"/>
          <w:lang w:eastAsia="zh-CN"/>
        </w:rPr>
        <w:t>报名</w:t>
      </w:r>
      <w:r>
        <w:rPr>
          <w:rFonts w:ascii="方正小标宋简体" w:hAnsi="Times New Roman" w:eastAsia="方正小标宋简体" w:cs="Times New Roman"/>
          <w:color w:val="000000"/>
          <w:spacing w:val="50"/>
          <w:kern w:val="0"/>
          <w:sz w:val="44"/>
          <w:szCs w:val="44"/>
        </w:rPr>
        <w:t>表</w:t>
      </w:r>
    </w:p>
    <w:p>
      <w:pPr>
        <w:ind w:firstLine="420" w:firstLineChars="200"/>
        <w:jc w:val="center"/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 xml:space="preserve"> </w:t>
      </w:r>
    </w:p>
    <w:bookmarkEnd w:id="0"/>
    <w:p>
      <w:pPr>
        <w:ind w:firstLine="640" w:firstLineChars="200"/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ascii="Calibri" w:hAnsi="Calibri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ascii="Calibri" w:hAnsi="Calibri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ascii="Calibri" w:hAnsi="Calibri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ind w:firstLine="1600" w:firstLineChars="500"/>
        <w:rPr>
          <w:rFonts w:ascii="黑体" w:hAnsi="黑体" w:eastAsia="黑体" w:cs="Times New Roman"/>
          <w:color w:val="000000"/>
          <w:sz w:val="36"/>
          <w:szCs w:val="36"/>
          <w:u w:val="single"/>
        </w:rPr>
      </w:pPr>
      <w:r>
        <w:rPr>
          <w:rFonts w:ascii="Calibri" w:hAnsi="Calibri" w:eastAsia="方正仿宋简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 xml:space="preserve"> 姓    名  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firstLine="1600" w:firstLineChars="5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   工作单位  </w:t>
      </w:r>
      <w:r>
        <w:rPr>
          <w:rFonts w:hint="eastAsia" w:ascii="黑体" w:hAnsi="黑体" w:eastAsia="黑体" w:cs="Times New Roman"/>
          <w:color w:val="000000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firstLine="1600" w:firstLineChars="5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   推荐单位  </w:t>
      </w:r>
      <w:r>
        <w:rPr>
          <w:rFonts w:hint="eastAsia" w:ascii="黑体" w:hAnsi="黑体" w:eastAsia="黑体" w:cs="Times New Roman"/>
          <w:color w:val="000000"/>
          <w:sz w:val="32"/>
          <w:szCs w:val="32"/>
          <w:u w:val="single"/>
        </w:rPr>
        <w:t xml:space="preserve">                   </w:t>
      </w:r>
    </w:p>
    <w:p>
      <w:pPr>
        <w:ind w:firstLine="640" w:firstLineChars="200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ascii="Calibri" w:hAnsi="Calibri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ascii="Calibri" w:hAnsi="Calibri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ascii="Calibri" w:hAnsi="Calibri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ascii="楷体_GB2312" w:hAnsi="Calibri" w:eastAsia="楷体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Calibri" w:eastAsia="楷体_GB2312" w:cs="Times New Roman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楷体_GB2312" w:hAnsi="Calibri" w:eastAsia="楷体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Calibri" w:eastAsia="楷体_GB2312" w:cs="Times New Roman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楷体_GB2312" w:hAnsi="Calibri" w:eastAsia="楷体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Calibri" w:eastAsia="楷体_GB2312" w:cs="Times New Roman"/>
          <w:color w:val="000000"/>
          <w:kern w:val="0"/>
          <w:sz w:val="32"/>
          <w:szCs w:val="32"/>
        </w:rPr>
        <w:t>填报时间：  年   月   日</w:t>
      </w:r>
    </w:p>
    <w:p>
      <w:pPr>
        <w:spacing w:line="600" w:lineRule="exact"/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  <w:t xml:space="preserve"> </w:t>
      </w:r>
    </w:p>
    <w:tbl>
      <w:tblPr>
        <w:tblStyle w:val="3"/>
        <w:tblW w:w="88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941"/>
        <w:gridCol w:w="1355"/>
        <w:gridCol w:w="2055"/>
        <w:gridCol w:w="1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推（自）荐人</w:t>
            </w:r>
          </w:p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二寸证件照</w:t>
            </w:r>
          </w:p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（电子版）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现工作单位及职务或从事行业</w:t>
            </w:r>
          </w:p>
        </w:tc>
        <w:tc>
          <w:tcPr>
            <w:tcW w:w="72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7" w:hRule="atLeast"/>
          <w:jc w:val="center"/>
        </w:trPr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2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  <w:jc w:val="center"/>
        </w:trPr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2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为进一步服务好市场主体,提升我省营商环境工作精准度,推动我省建设一流营商环境,根据省优化营商环境领导小组工作部署,现面向全社会公开选聘营商环境观察员。现将有关事项公告如下: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一、选聘条件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(一)自觉遵守中华人民共和国法律法规;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(二)拥有良好的社会信用和职业道德;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(三)支持我省营商环境建设工作,关心企业服务、行政审批、市场监管等方面工作;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(四)具有与履行营商环境建设职能相应的专业知识、政策水平和工作能力,热衷为企业服务;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(五)具有健康的身体条件。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二、主要职责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(一)宣传和解读我省优化营商环境有关政策和工作措施,了解和收集涉企政策的落实情况;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(二)收集反馈企业的困难问题,结合工作实际,提出合理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化的意见建议;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(三)发现、收集和反馈在营商环境建设中的正反两方面现象;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(四)监督和反映全省各地各单位贯彻落实《优化营商环境条例》《湖北省优化营商环境办法》、省委省政府出台的有关营商环境重要文件、政府诚信、依法行政、政务公开、行政审批等情况;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(五)受邀参与有关营商环境建设的调研、座谈、督促、评价等工作,并积极为优化营商环境建言献策;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(六)省优化营商环境领导小组赋予的其他工作任务。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三、选聘期限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营商环境观察员实行聘任制,由省优化营商环境领导小组聘任,每届聘期1年。届满之后根据工作表现和需要进行调整,可连聘连任。营商环境观察员受聘期满自然解聘,如在聘任期内发生违法、渎职或其他不能正常履行职责的情况,予以解聘。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四、选聘程序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(一)省优化营商环境领导小组办公室发布选聘营商环境观察员的公告(根据工作需要向相关单位发送公函);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(二)有关部门、单位提出推荐人选,或者社会人士进行自荐;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(三)省优化营商环境领导小组办公室对推荐人员和自荐人员进行审核后,确定聘请的营商环境观察员人选;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(四)召开聘请会议,颁发聘书,向社会公布湖北省营商环境观察员名单。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五、报名方式和时间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按要求填写《湖北省营商环境观察员推(自)荐审批表》,发送至hbyshjb@163.com。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报名截止时间:2022年7月20日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联系电话:027-87137859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附件:湖北省营商环境观察员推(自)荐审批表</w:t>
      </w:r>
    </w:p>
    <w:p>
      <w:pPr>
        <w:widowControl/>
        <w:shd w:val="clear" w:color="auto" w:fill="FFFFFF"/>
        <w:spacing w:line="480" w:lineRule="auto"/>
        <w:ind w:firstLine="480"/>
        <w:jc w:val="righ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湖北省优化营商环境领导小组办公室</w:t>
      </w:r>
    </w:p>
    <w:p>
      <w:pPr>
        <w:widowControl/>
        <w:shd w:val="clear" w:color="auto" w:fill="FFFFFF"/>
        <w:spacing w:line="480" w:lineRule="auto"/>
        <w:ind w:firstLine="480"/>
        <w:jc w:val="right"/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vanish/>
          <w:color w:val="000000"/>
          <w:kern w:val="0"/>
          <w:sz w:val="24"/>
          <w:szCs w:val="24"/>
        </w:rPr>
        <w:t>2022年7月11日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Njk4MmUzOThlZTI3YmFmMmI1OTg0M2UzNzhhNGQifQ=="/>
  </w:docVars>
  <w:rsids>
    <w:rsidRoot w:val="00366281"/>
    <w:rsid w:val="00082280"/>
    <w:rsid w:val="001D276B"/>
    <w:rsid w:val="002F1B5B"/>
    <w:rsid w:val="00366281"/>
    <w:rsid w:val="00637DE2"/>
    <w:rsid w:val="00BB43FA"/>
    <w:rsid w:val="14015F6C"/>
    <w:rsid w:val="31036D59"/>
    <w:rsid w:val="33CA1C9A"/>
    <w:rsid w:val="4C81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1032</Words>
  <Characters>1087</Characters>
  <Lines>15</Lines>
  <Paragraphs>4</Paragraphs>
  <TotalTime>5</TotalTime>
  <ScaleCrop>false</ScaleCrop>
  <LinksUpToDate>false</LinksUpToDate>
  <CharactersWithSpaces>1189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2023-05-15T13:27:00Z</dcterms:created>
  <dc:creator>周浩</dc:creator>
  <cp:lastModifiedBy>钢铁之翼</cp:lastModifiedBy>
  <cp:lastPrinted>2023-05-15T13:53:00Z</cp:lastPrinted>
  <dcterms:modified xsi:type="dcterms:W3CDTF">2023-05-16T13:58:45Z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A448986EF4B6421DB1330A7A7FECCCA6_13</vt:lpwstr>
  </property>
</Properties>
</file>